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PANE VIVO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Pane vivo, pane del cielo, Divina Eucarestia,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oh sacro Mistero regalo del tuo amore,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vieni e abita nella mia anima Gesù, Signore e mio Dio;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oggi,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Vicinissimo al tuo petto dimentico tutto mio Dio;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temo più l’oscurità, la notte della mia anima.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un posto Gesù, la pace del tuo cuore,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mia vita è un instante, un’ora effimera;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solo un giorno la mia vita: un soffio fugace.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lo sai Dio mio, per amarti quaggiù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il giorno di oggi,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il giorno di oggi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Oh Gesù io ti amo, la mia anima tende verso di te;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Tu sia per un solo giorno il mio dolce rifugio.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Vieni e regna nel mio petto, dammi il tuo sorriso Signore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oggi,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oggi,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di più che per oggi.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dCfEyy6TANmfoLxr1kYoLRtNA==">CgMxLjA4AHIhMWxJSmUzNWhTdlhBLUlUQ01BUWlQNzc3bHFFbU1fUHJ6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